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方正小标宋简体"/>
          <w:b/>
          <w:bCs/>
          <w:color w:val="FF0000"/>
          <w:w w:val="45"/>
          <w:sz w:val="90"/>
          <w:szCs w:val="90"/>
        </w:rPr>
      </w:pPr>
      <w:r>
        <w:rPr>
          <w:rFonts w:hint="eastAsia" w:ascii="宋体" w:hAnsi="宋体" w:cs="方正小标宋简体"/>
          <w:b/>
          <w:bCs/>
          <w:color w:val="FF0000"/>
          <w:w w:val="45"/>
          <w:sz w:val="90"/>
          <w:szCs w:val="90"/>
        </w:rPr>
        <w:t>共青团江西农业大学动物科学技术学院委员会文件</w:t>
      </w:r>
    </w:p>
    <w:p>
      <w:pPr>
        <w:spacing w:line="360" w:lineRule="auto"/>
        <w:rPr>
          <w:rFonts w:ascii="仿宋_GB2312" w:eastAsia="仿宋_GB2312"/>
          <w:sz w:val="30"/>
        </w:rPr>
      </w:pPr>
    </w:p>
    <w:p>
      <w:pPr>
        <w:spacing w:line="360" w:lineRule="auto"/>
        <w:jc w:val="center"/>
        <w:rPr>
          <w:rFonts w:ascii="仿宋_GB2312" w:eastAsia="仿宋_GB2312"/>
          <w:sz w:val="30"/>
        </w:rPr>
      </w:pPr>
      <w:r>
        <w:rPr>
          <w:rFonts w:hint="eastAsia" w:ascii="仿宋_GB2312" w:eastAsia="仿宋_GB2312"/>
          <w:bCs/>
          <w:sz w:val="30"/>
        </w:rPr>
        <w:t>赣农大动科青发〔202</w:t>
      </w:r>
      <w:r>
        <w:rPr>
          <w:rFonts w:ascii="仿宋_GB2312" w:eastAsia="仿宋_GB2312"/>
          <w:bCs/>
          <w:sz w:val="30"/>
        </w:rPr>
        <w:t>3</w:t>
      </w:r>
      <w:r>
        <w:rPr>
          <w:rFonts w:hint="eastAsia" w:ascii="仿宋_GB2312" w:eastAsia="仿宋_GB2312"/>
          <w:bCs/>
          <w:sz w:val="30"/>
        </w:rPr>
        <w:t>〕</w:t>
      </w:r>
      <w:r>
        <w:rPr>
          <w:rFonts w:hint="eastAsia" w:ascii="仿宋_GB2312" w:eastAsia="仿宋_GB2312"/>
          <w:bCs/>
          <w:sz w:val="30"/>
          <w:lang w:val="en-US" w:eastAsia="zh-CN"/>
        </w:rPr>
        <w:t>13</w:t>
      </w:r>
      <w:r>
        <w:rPr>
          <w:rFonts w:hint="eastAsia" w:ascii="仿宋_GB2312" w:eastAsia="仿宋_GB2312"/>
          <w:bCs/>
          <w:sz w:val="30"/>
        </w:rPr>
        <w:t>号</w:t>
      </w:r>
    </w:p>
    <w:p>
      <w:pPr>
        <w:widowControl/>
        <w:adjustRightInd w:val="0"/>
        <w:snapToGrid w:val="0"/>
        <w:spacing w:line="480" w:lineRule="exact"/>
        <w:jc w:val="center"/>
        <w:rPr>
          <w:rFonts w:ascii="仿宋_GB2312" w:eastAsia="仿宋_GB2312"/>
          <w:b/>
          <w:bCs/>
          <w:sz w:val="30"/>
        </w:rPr>
      </w:pPr>
      <w:r>
        <w:rPr>
          <w:rFonts w:hint="eastAsia" w:ascii="仿宋_GB2312" w:eastAsia="仿宋_GB2312"/>
          <w:sz w:val="30"/>
        </w:rPr>
        <mc:AlternateContent>
          <mc:Choice Requires="wps">
            <w:drawing>
              <wp:anchor distT="0" distB="0" distL="0" distR="0" simplePos="0" relativeHeight="251659264" behindDoc="0" locked="0" layoutInCell="1" allowOverlap="1">
                <wp:simplePos x="0" y="0"/>
                <wp:positionH relativeFrom="column">
                  <wp:posOffset>11430</wp:posOffset>
                </wp:positionH>
                <wp:positionV relativeFrom="paragraph">
                  <wp:posOffset>147955</wp:posOffset>
                </wp:positionV>
                <wp:extent cx="5734050" cy="0"/>
                <wp:effectExtent l="16510" t="13970" r="12065" b="14605"/>
                <wp:wrapNone/>
                <wp:docPr id="1026"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15875" cap="flat" cmpd="sng">
                          <a:solidFill>
                            <a:srgbClr val="FF0000"/>
                          </a:solidFill>
                          <a:prstDash val="solid"/>
                          <a:round/>
                        </a:ln>
                      </wps:spPr>
                      <wps:bodyPr/>
                    </wps:wsp>
                  </a:graphicData>
                </a:graphic>
              </wp:anchor>
            </w:drawing>
          </mc:Choice>
          <mc:Fallback>
            <w:pict>
              <v:line id="直接连接符 1" o:spid="_x0000_s1026" o:spt="20" style="position:absolute;left:0pt;margin-left:0.9pt;margin-top:11.65pt;height:0pt;width:451.5pt;z-index:251659264;mso-width-relative:page;mso-height-relative:page;" filled="f" stroked="t" coordsize="21600,21600" o:gfxdata="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5IdQ9MAAAAHAQAADwAAAAAAAAABACAAAAAi&#10;AAAAZHJzL2Rvd25yZXYueG1sUEsBAhQAFAAAAAgAh07iQPaL7+zWAQAAkgMAAA4AAAAAAAAAAQAg&#10;AAAAIgEAAGRycy9lMm9Eb2MueG1sUEsFBgAAAAAGAAYAWQEAAGoFAAAAAA==&#10;">
                <v:fill on="f" focussize="0,0"/>
                <v:stroke weight="1.25pt" color="#FF0000" joinstyle="round"/>
                <v:imagedata o:title=""/>
                <o:lock v:ext="edit" aspectratio="f"/>
              </v:line>
            </w:pict>
          </mc:Fallback>
        </mc:AlternateContent>
      </w:r>
      <w:r>
        <w:rPr>
          <w:rFonts w:hint="eastAsia" w:ascii="仿宋_GB2312" w:eastAsia="仿宋_GB2312"/>
          <w:b/>
          <w:bCs/>
          <w:sz w:val="30"/>
        </w:rPr>
        <w:t xml:space="preserve"> </w:t>
      </w:r>
      <w:r>
        <w:rPr>
          <w:rFonts w:ascii="仿宋_GB2312" w:eastAsia="仿宋_GB2312"/>
          <w:b/>
          <w:bCs/>
          <w:sz w:val="30"/>
        </w:rPr>
        <w:t xml:space="preserve">                              </w:t>
      </w:r>
    </w:p>
    <w:p>
      <w:pPr>
        <w:spacing w:line="540" w:lineRule="exact"/>
        <w:jc w:val="center"/>
        <w:rPr>
          <w:rFonts w:ascii="仿宋_GB2312" w:eastAsia="仿宋_GB2312"/>
          <w:bCs/>
          <w:sz w:val="30"/>
          <w:szCs w:val="30"/>
        </w:rPr>
      </w:pPr>
    </w:p>
    <w:p>
      <w:pPr>
        <w:spacing w:line="540" w:lineRule="exact"/>
        <w:jc w:val="center"/>
        <w:rPr>
          <w:rFonts w:ascii="仿宋_GB2312" w:eastAsia="仿宋_GB2312"/>
          <w:bCs/>
          <w:sz w:val="30"/>
          <w:szCs w:val="30"/>
        </w:rPr>
      </w:pPr>
    </w:p>
    <w:p>
      <w:pPr>
        <w:spacing w:line="540" w:lineRule="exact"/>
        <w:jc w:val="center"/>
        <w:rPr>
          <w:rFonts w:ascii="仿宋_GB2312" w:eastAsia="仿宋_GB2312"/>
          <w:bCs/>
          <w:sz w:val="30"/>
          <w:szCs w:val="30"/>
        </w:rPr>
      </w:pPr>
    </w:p>
    <w:p>
      <w:pPr>
        <w:jc w:val="center"/>
        <w:rPr>
          <w:rFonts w:ascii="宋体" w:hAnsi="宋体" w:cs="宋体"/>
          <w:b/>
          <w:bCs/>
          <w:sz w:val="44"/>
          <w:szCs w:val="44"/>
        </w:rPr>
      </w:pPr>
      <w:r>
        <w:rPr>
          <w:rFonts w:hint="eastAsia" w:ascii="宋体" w:hAnsi="宋体" w:cs="宋体"/>
          <w:b/>
          <w:bCs/>
          <w:sz w:val="44"/>
          <w:szCs w:val="44"/>
        </w:rPr>
        <w:t>动物科学技术学院团员推优入党要点及流程</w:t>
      </w:r>
    </w:p>
    <w:p>
      <w:pPr>
        <w:spacing w:before="156" w:beforeLines="50" w:line="580" w:lineRule="exact"/>
        <w:ind w:firstLine="640" w:firstLineChars="200"/>
        <w:rPr>
          <w:rFonts w:ascii="仿宋_GB2312" w:eastAsia="仿宋_GB2312"/>
          <w:bCs/>
          <w:sz w:val="32"/>
          <w:szCs w:val="30"/>
        </w:rPr>
      </w:pPr>
      <w:r>
        <w:rPr>
          <w:rFonts w:hint="eastAsia" w:ascii="仿宋_GB2312" w:eastAsia="仿宋_GB2312"/>
          <w:bCs/>
          <w:sz w:val="32"/>
          <w:szCs w:val="30"/>
        </w:rPr>
        <w:t>团章明确规定：推荐优秀共青团员作为党组织的发展对象。积极做好这项工作，是党对共青团提出的要求，也是共青团作为党的助手和后备军在工作中的具体体现。做好推荐工作，有助于保持和增强共青团的政治性、先进性、群众性,有效提升青年党员质量。“推优”工作在校党委和院党委的统一领导下，由校团委指导，学院团委负责组织实施。</w:t>
      </w:r>
    </w:p>
    <w:p>
      <w:pPr>
        <w:spacing w:line="580" w:lineRule="exact"/>
        <w:ind w:firstLine="616" w:firstLineChars="200"/>
        <w:rPr>
          <w:rFonts w:ascii="黑体" w:hAnsi="黑体" w:eastAsia="黑体" w:cs="宋体"/>
          <w:sz w:val="32"/>
          <w:szCs w:val="32"/>
        </w:rPr>
      </w:pPr>
      <w:r>
        <w:rPr>
          <w:rFonts w:hint="eastAsia" w:ascii="黑体" w:hAnsi="黑体" w:eastAsia="黑体"/>
          <w:color w:val="000000"/>
          <w:spacing w:val="-6"/>
          <w:sz w:val="32"/>
          <w:szCs w:val="28"/>
        </w:rPr>
        <w:t>一、“推优”范围和条件</w:t>
      </w:r>
    </w:p>
    <w:p>
      <w:pPr>
        <w:widowControl/>
        <w:adjustRightInd w:val="0"/>
        <w:snapToGrid w:val="0"/>
        <w:spacing w:line="580" w:lineRule="exact"/>
        <w:ind w:firstLine="643" w:firstLineChars="200"/>
        <w:rPr>
          <w:rFonts w:ascii="楷体" w:hAnsi="楷体" w:eastAsia="楷体"/>
          <w:b/>
          <w:sz w:val="32"/>
          <w:szCs w:val="30"/>
        </w:rPr>
      </w:pPr>
      <w:r>
        <w:rPr>
          <w:rFonts w:hint="eastAsia" w:ascii="楷体" w:hAnsi="楷体" w:eastAsia="楷体"/>
          <w:b/>
          <w:sz w:val="32"/>
          <w:szCs w:val="30"/>
        </w:rPr>
        <w:t>（一）基本条件</w:t>
      </w:r>
    </w:p>
    <w:p>
      <w:pPr>
        <w:widowControl/>
        <w:adjustRightInd w:val="0"/>
        <w:snapToGrid w:val="0"/>
        <w:spacing w:line="580" w:lineRule="exact"/>
        <w:ind w:firstLine="640" w:firstLineChars="200"/>
        <w:rPr>
          <w:rFonts w:ascii="仿宋_GB2312" w:eastAsia="仿宋_GB2312"/>
          <w:bCs/>
          <w:sz w:val="32"/>
          <w:szCs w:val="30"/>
        </w:rPr>
      </w:pPr>
      <w:r>
        <w:rPr>
          <w:rFonts w:hint="eastAsia" w:ascii="仿宋_GB2312" w:eastAsia="仿宋_GB2312"/>
          <w:bCs/>
          <w:sz w:val="32"/>
          <w:szCs w:val="30"/>
        </w:rPr>
        <w:t>1</w:t>
      </w:r>
      <w:r>
        <w:rPr>
          <w:rFonts w:hint="eastAsia" w:ascii="仿宋_GB2312" w:eastAsia="仿宋_GB2312"/>
          <w:bCs/>
          <w:sz w:val="32"/>
          <w:szCs w:val="30"/>
          <w:lang w:eastAsia="zh-CN"/>
        </w:rPr>
        <w:t>、</w:t>
      </w:r>
      <w:r>
        <w:rPr>
          <w:rFonts w:hint="eastAsia" w:ascii="仿宋_GB2312" w:eastAsia="仿宋_GB2312"/>
          <w:bCs/>
          <w:sz w:val="32"/>
          <w:szCs w:val="30"/>
        </w:rPr>
        <w:t>推为入党积极分子：需有1年以上的团龄,承认党的章程，且正式向党组织递交了书面入党申请满6个月的优秀共青团员；推为近期发展对象：需成为入党积极分子时间满1年。</w:t>
      </w:r>
    </w:p>
    <w:p>
      <w:pPr>
        <w:widowControl/>
        <w:adjustRightInd w:val="0"/>
        <w:snapToGrid w:val="0"/>
        <w:spacing w:line="580" w:lineRule="exact"/>
        <w:ind w:firstLine="640" w:firstLineChars="200"/>
        <w:rPr>
          <w:rFonts w:ascii="仿宋_GB2312" w:eastAsia="仿宋_GB2312"/>
          <w:bCs/>
          <w:sz w:val="32"/>
          <w:szCs w:val="30"/>
        </w:rPr>
      </w:pPr>
      <w:r>
        <w:rPr>
          <w:rFonts w:hint="eastAsia" w:ascii="仿宋_GB2312" w:eastAsia="仿宋_GB2312"/>
          <w:bCs/>
          <w:sz w:val="32"/>
          <w:szCs w:val="30"/>
        </w:rPr>
        <w:t>2</w:t>
      </w:r>
      <w:r>
        <w:rPr>
          <w:rFonts w:hint="eastAsia" w:ascii="仿宋_GB2312" w:eastAsia="仿宋_GB2312"/>
          <w:bCs/>
          <w:sz w:val="32"/>
          <w:szCs w:val="30"/>
          <w:lang w:eastAsia="zh-CN"/>
        </w:rPr>
        <w:t>、</w:t>
      </w:r>
      <w:r>
        <w:rPr>
          <w:rFonts w:hint="eastAsia" w:ascii="仿宋_GB2312" w:eastAsia="仿宋_GB2312"/>
          <w:bCs/>
          <w:sz w:val="32"/>
          <w:szCs w:val="30"/>
        </w:rPr>
        <w:t>须政治思想上、道德品行上、发挥作用上和执行纪律上保持先进。</w:t>
      </w:r>
    </w:p>
    <w:p>
      <w:pPr>
        <w:widowControl/>
        <w:adjustRightInd w:val="0"/>
        <w:snapToGrid w:val="0"/>
        <w:spacing w:line="580" w:lineRule="exact"/>
        <w:ind w:firstLine="640" w:firstLineChars="200"/>
        <w:rPr>
          <w:rFonts w:ascii="仿宋_GB2312" w:eastAsia="仿宋_GB2312"/>
          <w:bCs/>
          <w:sz w:val="32"/>
          <w:szCs w:val="30"/>
        </w:rPr>
      </w:pPr>
      <w:r>
        <w:rPr>
          <w:rFonts w:hint="eastAsia" w:ascii="仿宋_GB2312" w:eastAsia="仿宋_GB2312"/>
          <w:bCs/>
          <w:sz w:val="32"/>
          <w:szCs w:val="30"/>
        </w:rPr>
        <w:t>3</w:t>
      </w:r>
      <w:r>
        <w:rPr>
          <w:rFonts w:hint="eastAsia" w:ascii="仿宋_GB2312" w:eastAsia="仿宋_GB2312"/>
          <w:bCs/>
          <w:sz w:val="32"/>
          <w:szCs w:val="30"/>
          <w:lang w:eastAsia="zh-CN"/>
        </w:rPr>
        <w:t>、</w:t>
      </w:r>
      <w:r>
        <w:rPr>
          <w:rFonts w:hint="eastAsia" w:ascii="仿宋_GB2312" w:eastAsia="仿宋_GB2312"/>
          <w:bCs/>
          <w:sz w:val="32"/>
          <w:szCs w:val="30"/>
        </w:rPr>
        <w:t>学习目的性明确。拟推荐为入党积极分子的，</w:t>
      </w:r>
      <w:r>
        <w:rPr>
          <w:rFonts w:hint="eastAsia" w:ascii="仿宋_GB2312" w:eastAsia="仿宋_GB2312"/>
          <w:bCs/>
          <w:color w:val="FF0000"/>
          <w:sz w:val="32"/>
          <w:szCs w:val="30"/>
        </w:rPr>
        <w:t>近两个学期（大一年级</w:t>
      </w:r>
      <w:r>
        <w:rPr>
          <w:rFonts w:hint="eastAsia" w:ascii="仿宋_GB2312" w:eastAsia="仿宋_GB2312"/>
          <w:bCs/>
          <w:color w:val="FF0000"/>
          <w:sz w:val="32"/>
          <w:szCs w:val="30"/>
          <w:lang w:eastAsia="zh-CN"/>
        </w:rPr>
        <w:t>、</w:t>
      </w:r>
      <w:r>
        <w:rPr>
          <w:rFonts w:hint="eastAsia" w:ascii="仿宋_GB2312" w:eastAsia="仿宋_GB2312"/>
          <w:bCs/>
          <w:color w:val="FF0000"/>
          <w:sz w:val="32"/>
          <w:szCs w:val="30"/>
          <w:lang w:val="en-US" w:eastAsia="zh-CN"/>
        </w:rPr>
        <w:t>研究生一年级</w:t>
      </w:r>
      <w:r>
        <w:rPr>
          <w:rFonts w:hint="eastAsia" w:ascii="仿宋_GB2312" w:eastAsia="仿宋_GB2312"/>
          <w:bCs/>
          <w:color w:val="FF0000"/>
          <w:sz w:val="32"/>
          <w:szCs w:val="30"/>
        </w:rPr>
        <w:t>为上一学期）无挂科</w:t>
      </w:r>
      <w:r>
        <w:rPr>
          <w:rFonts w:hint="eastAsia" w:ascii="仿宋_GB2312" w:eastAsia="仿宋_GB2312"/>
          <w:bCs/>
          <w:sz w:val="32"/>
          <w:szCs w:val="30"/>
        </w:rPr>
        <w:t>，同时政治理论学习（青年大学习</w:t>
      </w:r>
      <w:r>
        <w:rPr>
          <w:rFonts w:hint="eastAsia" w:ascii="仿宋_GB2312" w:eastAsia="仿宋_GB2312"/>
          <w:bCs/>
          <w:color w:val="FF0000"/>
          <w:sz w:val="32"/>
          <w:szCs w:val="30"/>
        </w:rPr>
        <w:t>和学习强国</w:t>
      </w:r>
      <w:r>
        <w:rPr>
          <w:rFonts w:hint="eastAsia" w:ascii="仿宋_GB2312" w:eastAsia="仿宋_GB2312"/>
          <w:bCs/>
          <w:sz w:val="32"/>
          <w:szCs w:val="30"/>
        </w:rPr>
        <w:t>）达标；拟推荐为近期发展对象的，</w:t>
      </w:r>
      <w:r>
        <w:rPr>
          <w:rFonts w:hint="eastAsia" w:ascii="仿宋_GB2312" w:eastAsia="仿宋_GB2312"/>
          <w:bCs/>
          <w:sz w:val="32"/>
          <w:szCs w:val="30"/>
          <w:lang w:val="en-US" w:eastAsia="zh-CN"/>
        </w:rPr>
        <w:t>本科生</w:t>
      </w:r>
      <w:r>
        <w:rPr>
          <w:rFonts w:hint="eastAsia" w:ascii="仿宋_GB2312" w:eastAsia="仿宋_GB2312"/>
          <w:bCs/>
          <w:sz w:val="32"/>
          <w:szCs w:val="30"/>
        </w:rPr>
        <w:t>近两个学期综测成绩综合排名50%及以上，</w:t>
      </w:r>
      <w:r>
        <w:rPr>
          <w:rFonts w:hint="eastAsia" w:ascii="仿宋_GB2312" w:eastAsia="仿宋_GB2312"/>
          <w:bCs/>
          <w:sz w:val="32"/>
          <w:szCs w:val="30"/>
          <w:lang w:val="en-US" w:eastAsia="zh-CN"/>
        </w:rPr>
        <w:t>且无挂科；研究生近两个学期内学习成绩平均分在80分及以上，且无挂科，</w:t>
      </w:r>
      <w:r>
        <w:rPr>
          <w:rFonts w:hint="eastAsia" w:ascii="仿宋_GB2312" w:eastAsia="仿宋_GB2312"/>
          <w:bCs/>
          <w:sz w:val="32"/>
          <w:szCs w:val="30"/>
        </w:rPr>
        <w:t>同时政治理论学习（青年大学习和</w:t>
      </w:r>
      <w:r>
        <w:rPr>
          <w:rFonts w:hint="eastAsia" w:ascii="仿宋_GB2312" w:eastAsia="仿宋_GB2312"/>
          <w:bCs/>
          <w:color w:val="FF0000"/>
          <w:sz w:val="32"/>
          <w:szCs w:val="30"/>
        </w:rPr>
        <w:t>学习强国</w:t>
      </w:r>
      <w:r>
        <w:rPr>
          <w:rFonts w:hint="eastAsia" w:ascii="仿宋_GB2312" w:eastAsia="仿宋_GB2312"/>
          <w:bCs/>
          <w:sz w:val="32"/>
          <w:szCs w:val="30"/>
        </w:rPr>
        <w:t>）达标。</w:t>
      </w:r>
    </w:p>
    <w:p>
      <w:pPr>
        <w:widowControl/>
        <w:adjustRightInd w:val="0"/>
        <w:snapToGrid w:val="0"/>
        <w:spacing w:line="580" w:lineRule="exact"/>
        <w:ind w:firstLine="643" w:firstLineChars="200"/>
        <w:rPr>
          <w:rFonts w:ascii="楷体" w:hAnsi="楷体" w:eastAsia="楷体"/>
          <w:b/>
          <w:sz w:val="32"/>
          <w:szCs w:val="30"/>
        </w:rPr>
      </w:pPr>
      <w:r>
        <w:rPr>
          <w:rFonts w:hint="eastAsia" w:ascii="楷体" w:hAnsi="楷体" w:eastAsia="楷体"/>
          <w:b/>
          <w:sz w:val="32"/>
          <w:szCs w:val="30"/>
        </w:rPr>
        <w:t>（二）凡属于下列情况之一者，优先推荐：</w:t>
      </w:r>
    </w:p>
    <w:p>
      <w:pPr>
        <w:widowControl/>
        <w:adjustRightInd w:val="0"/>
        <w:snapToGrid w:val="0"/>
        <w:spacing w:line="580" w:lineRule="exact"/>
        <w:ind w:firstLine="640" w:firstLineChars="200"/>
        <w:rPr>
          <w:rFonts w:ascii="仿宋_GB2312" w:eastAsia="仿宋_GB2312"/>
          <w:bCs/>
          <w:color w:val="FF0000"/>
          <w:sz w:val="32"/>
          <w:szCs w:val="30"/>
        </w:rPr>
      </w:pPr>
      <w:r>
        <w:rPr>
          <w:rFonts w:hint="eastAsia" w:ascii="仿宋_GB2312" w:eastAsia="仿宋_GB2312"/>
          <w:bCs/>
          <w:color w:val="FF0000"/>
          <w:sz w:val="32"/>
          <w:szCs w:val="30"/>
        </w:rPr>
        <w:t>1</w:t>
      </w:r>
      <w:r>
        <w:rPr>
          <w:rFonts w:hint="eastAsia" w:ascii="仿宋_GB2312" w:eastAsia="仿宋_GB2312"/>
          <w:bCs/>
          <w:color w:val="FF0000"/>
          <w:sz w:val="32"/>
          <w:szCs w:val="30"/>
          <w:lang w:eastAsia="zh-CN"/>
        </w:rPr>
        <w:t>、</w:t>
      </w:r>
      <w:r>
        <w:rPr>
          <w:rFonts w:hint="eastAsia" w:ascii="仿宋_GB2312" w:eastAsia="仿宋_GB2312"/>
          <w:bCs/>
          <w:color w:val="FF0000"/>
          <w:sz w:val="32"/>
          <w:szCs w:val="30"/>
        </w:rPr>
        <w:t>在校、院团学工作中积极主动，关注学院各项事业和发展，在关键时期表现优异者。</w:t>
      </w:r>
    </w:p>
    <w:p>
      <w:pPr>
        <w:widowControl/>
        <w:adjustRightInd w:val="0"/>
        <w:snapToGrid w:val="0"/>
        <w:spacing w:line="580" w:lineRule="exact"/>
        <w:ind w:firstLine="640" w:firstLineChars="200"/>
        <w:rPr>
          <w:rFonts w:ascii="仿宋_GB2312" w:eastAsia="仿宋_GB2312"/>
          <w:bCs/>
          <w:sz w:val="32"/>
          <w:szCs w:val="30"/>
        </w:rPr>
      </w:pPr>
      <w:r>
        <w:rPr>
          <w:rFonts w:hint="eastAsia" w:ascii="仿宋_GB2312" w:eastAsia="仿宋_GB2312"/>
          <w:bCs/>
          <w:sz w:val="32"/>
          <w:szCs w:val="30"/>
        </w:rPr>
        <w:t>2、获得“优秀共青团员”、“大学生自强之星”、“大学生年度人物”、“最美大学生”、“向上向善好青年”、“优秀青年志愿者”和“暑期三下乡先进个人”等省级及以上表彰的。</w:t>
      </w:r>
    </w:p>
    <w:p>
      <w:pPr>
        <w:widowControl/>
        <w:adjustRightInd w:val="0"/>
        <w:snapToGrid w:val="0"/>
        <w:spacing w:line="580" w:lineRule="exact"/>
        <w:ind w:firstLine="640" w:firstLineChars="200"/>
        <w:rPr>
          <w:rFonts w:ascii="仿宋_GB2312" w:eastAsia="仿宋_GB2312"/>
          <w:bCs/>
          <w:sz w:val="32"/>
          <w:szCs w:val="30"/>
        </w:rPr>
      </w:pPr>
      <w:r>
        <w:rPr>
          <w:rFonts w:hint="eastAsia" w:ascii="仿宋_GB2312" w:eastAsia="仿宋_GB2312"/>
          <w:bCs/>
          <w:sz w:val="32"/>
          <w:szCs w:val="30"/>
        </w:rPr>
        <w:t>3、获校级及以上表彰的各类先进集体的主要骨干成员及在其中起主要作用者。</w:t>
      </w:r>
    </w:p>
    <w:p>
      <w:pPr>
        <w:widowControl/>
        <w:adjustRightInd w:val="0"/>
        <w:snapToGrid w:val="0"/>
        <w:spacing w:line="580" w:lineRule="exact"/>
        <w:ind w:firstLine="640" w:firstLineChars="200"/>
        <w:rPr>
          <w:rFonts w:ascii="仿宋_GB2312" w:eastAsia="仿宋_GB2312"/>
          <w:bCs/>
          <w:sz w:val="32"/>
          <w:szCs w:val="30"/>
        </w:rPr>
      </w:pPr>
      <w:r>
        <w:rPr>
          <w:rFonts w:hint="eastAsia" w:ascii="仿宋_GB2312" w:eastAsia="仿宋_GB2312"/>
          <w:bCs/>
          <w:sz w:val="32"/>
          <w:szCs w:val="30"/>
        </w:rPr>
        <w:t>4、在学术科技、创新创业、见义勇为、助人为乐、志愿服务、文明创建、体育竞赛、美育劳育等方面表现突出者。</w:t>
      </w:r>
    </w:p>
    <w:p>
      <w:pPr>
        <w:widowControl/>
        <w:adjustRightInd w:val="0"/>
        <w:snapToGrid w:val="0"/>
        <w:spacing w:line="580" w:lineRule="exact"/>
        <w:ind w:firstLine="640" w:firstLineChars="200"/>
        <w:rPr>
          <w:rFonts w:ascii="仿宋_GB2312" w:eastAsia="仿宋_GB2312"/>
          <w:bCs/>
          <w:color w:val="FF0000"/>
          <w:sz w:val="32"/>
          <w:szCs w:val="30"/>
        </w:rPr>
      </w:pPr>
      <w:r>
        <w:rPr>
          <w:rFonts w:hint="eastAsia" w:ascii="仿宋_GB2312" w:eastAsia="仿宋_GB2312"/>
          <w:bCs/>
          <w:sz w:val="32"/>
          <w:szCs w:val="30"/>
        </w:rPr>
        <w:t>5、在校级“青马工程”培训班顺利结业，并获评“优秀学员”者。</w:t>
      </w:r>
    </w:p>
    <w:p>
      <w:pPr>
        <w:widowControl/>
        <w:adjustRightInd w:val="0"/>
        <w:snapToGrid w:val="0"/>
        <w:spacing w:line="580" w:lineRule="exact"/>
        <w:ind w:firstLine="640" w:firstLineChars="200"/>
        <w:rPr>
          <w:rFonts w:ascii="仿宋_GB2312" w:eastAsia="仿宋_GB2312"/>
          <w:bCs/>
          <w:sz w:val="32"/>
          <w:szCs w:val="30"/>
        </w:rPr>
      </w:pPr>
      <w:r>
        <w:rPr>
          <w:rFonts w:hint="eastAsia" w:ascii="仿宋_GB2312" w:eastAsia="仿宋_GB2312"/>
          <w:bCs/>
          <w:sz w:val="32"/>
          <w:szCs w:val="30"/>
        </w:rPr>
        <w:t>6、在年度团员教育评议中评议等次为优秀者。</w:t>
      </w:r>
    </w:p>
    <w:p>
      <w:pPr>
        <w:widowControl/>
        <w:adjustRightInd w:val="0"/>
        <w:snapToGrid w:val="0"/>
        <w:spacing w:line="580" w:lineRule="exact"/>
        <w:ind w:firstLine="643" w:firstLineChars="200"/>
        <w:rPr>
          <w:rFonts w:ascii="楷体" w:hAnsi="楷体" w:eastAsia="楷体"/>
          <w:b/>
          <w:sz w:val="32"/>
          <w:szCs w:val="30"/>
        </w:rPr>
      </w:pPr>
      <w:r>
        <w:rPr>
          <w:rFonts w:hint="eastAsia" w:ascii="楷体" w:hAnsi="楷体" w:eastAsia="楷体"/>
          <w:b/>
          <w:sz w:val="32"/>
          <w:szCs w:val="30"/>
        </w:rPr>
        <w:t>（三）凡属以下情况之一者，不作为“推优”对象：</w:t>
      </w:r>
    </w:p>
    <w:p>
      <w:pPr>
        <w:widowControl/>
        <w:adjustRightInd w:val="0"/>
        <w:snapToGrid w:val="0"/>
        <w:spacing w:line="580" w:lineRule="exact"/>
        <w:ind w:firstLine="640" w:firstLineChars="200"/>
        <w:rPr>
          <w:rFonts w:ascii="仿宋_GB2312" w:eastAsia="仿宋_GB2312"/>
          <w:bCs/>
          <w:sz w:val="32"/>
          <w:szCs w:val="30"/>
        </w:rPr>
      </w:pPr>
      <w:r>
        <w:rPr>
          <w:rFonts w:hint="eastAsia" w:ascii="仿宋_GB2312" w:eastAsia="仿宋_GB2312"/>
          <w:bCs/>
          <w:sz w:val="32"/>
          <w:szCs w:val="30"/>
        </w:rPr>
        <w:t>1、对马克思主义缺乏信仰、不具有共产主义觉悟的；是非观念淡薄，在大是大非和政治原则问题上态度暧昧、消极躲避的；参与邪教、笃信宗教或热衷封建迷信活动的；</w:t>
      </w:r>
    </w:p>
    <w:p>
      <w:pPr>
        <w:widowControl/>
        <w:adjustRightInd w:val="0"/>
        <w:snapToGrid w:val="0"/>
        <w:spacing w:line="580" w:lineRule="exact"/>
        <w:ind w:firstLine="640" w:firstLineChars="200"/>
        <w:rPr>
          <w:rFonts w:ascii="仿宋_GB2312" w:eastAsia="仿宋_GB2312"/>
          <w:bCs/>
          <w:sz w:val="32"/>
          <w:szCs w:val="30"/>
        </w:rPr>
      </w:pPr>
      <w:r>
        <w:rPr>
          <w:rFonts w:hint="eastAsia" w:ascii="仿宋_GB2312" w:eastAsia="仿宋_GB2312"/>
          <w:bCs/>
          <w:sz w:val="32"/>
          <w:szCs w:val="30"/>
        </w:rPr>
        <w:t>2、在校期间存在违法违纪行为或正在被调查处理，</w:t>
      </w:r>
      <w:r>
        <w:rPr>
          <w:rFonts w:hint="eastAsia" w:ascii="仿宋_GB2312" w:eastAsia="仿宋_GB2312"/>
          <w:bCs/>
          <w:color w:val="FF0000"/>
          <w:sz w:val="32"/>
          <w:szCs w:val="30"/>
        </w:rPr>
        <w:t>不遵守校、院</w:t>
      </w:r>
      <w:r>
        <w:rPr>
          <w:rFonts w:hint="eastAsia" w:ascii="仿宋_GB2312" w:eastAsia="仿宋_GB2312"/>
          <w:bCs/>
          <w:color w:val="FF0000"/>
          <w:sz w:val="32"/>
          <w:szCs w:val="30"/>
          <w:lang w:val="en-US" w:eastAsia="zh-CN"/>
        </w:rPr>
        <w:t>规章制度</w:t>
      </w:r>
      <w:r>
        <w:rPr>
          <w:rFonts w:hint="eastAsia" w:ascii="仿宋_GB2312" w:eastAsia="仿宋_GB2312"/>
          <w:bCs/>
          <w:color w:val="FF0000"/>
          <w:sz w:val="32"/>
          <w:szCs w:val="30"/>
        </w:rPr>
        <w:t>的</w:t>
      </w:r>
      <w:r>
        <w:rPr>
          <w:rFonts w:hint="eastAsia" w:ascii="仿宋_GB2312" w:eastAsia="仿宋_GB2312"/>
          <w:bCs/>
          <w:sz w:val="32"/>
          <w:szCs w:val="30"/>
          <w:lang w:eastAsia="zh-CN"/>
        </w:rPr>
        <w:t>，</w:t>
      </w:r>
      <w:r>
        <w:rPr>
          <w:rFonts w:hint="eastAsia" w:ascii="仿宋_GB2312" w:eastAsia="仿宋_GB2312"/>
          <w:bCs/>
          <w:sz w:val="32"/>
          <w:szCs w:val="30"/>
        </w:rPr>
        <w:t>最近一年内违反校纪校规受到处分的。</w:t>
      </w:r>
    </w:p>
    <w:p>
      <w:pPr>
        <w:widowControl/>
        <w:adjustRightInd w:val="0"/>
        <w:snapToGrid w:val="0"/>
        <w:spacing w:line="580" w:lineRule="exact"/>
        <w:ind w:firstLine="640" w:firstLineChars="200"/>
        <w:rPr>
          <w:rFonts w:ascii="仿宋_GB2312" w:eastAsia="仿宋_GB2312"/>
          <w:bCs/>
          <w:sz w:val="32"/>
          <w:szCs w:val="30"/>
        </w:rPr>
      </w:pPr>
      <w:r>
        <w:rPr>
          <w:rFonts w:hint="eastAsia" w:ascii="仿宋_GB2312" w:eastAsia="仿宋_GB2312"/>
          <w:bCs/>
          <w:sz w:val="32"/>
          <w:szCs w:val="30"/>
        </w:rPr>
        <w:t>3、参加党校、团校、“青马工程”等教育培训不合格者。</w:t>
      </w:r>
    </w:p>
    <w:p>
      <w:pPr>
        <w:widowControl/>
        <w:adjustRightInd w:val="0"/>
        <w:snapToGrid w:val="0"/>
        <w:spacing w:line="580" w:lineRule="exact"/>
        <w:ind w:firstLine="640" w:firstLineChars="200"/>
        <w:rPr>
          <w:rFonts w:hint="default" w:ascii="仿宋_GB2312" w:eastAsia="仿宋_GB2312"/>
          <w:bCs/>
          <w:sz w:val="32"/>
          <w:szCs w:val="30"/>
          <w:lang w:val="en-US" w:eastAsia="zh-CN"/>
        </w:rPr>
      </w:pPr>
      <w:r>
        <w:rPr>
          <w:rFonts w:hint="eastAsia" w:ascii="仿宋_GB2312" w:eastAsia="仿宋_GB2312"/>
          <w:bCs/>
          <w:sz w:val="32"/>
          <w:szCs w:val="30"/>
        </w:rPr>
        <w:t>4、拟推荐为入党积极分子的，</w:t>
      </w:r>
      <w:bookmarkStart w:id="0" w:name="_GoBack"/>
      <w:bookmarkEnd w:id="0"/>
      <w:r>
        <w:rPr>
          <w:rFonts w:hint="eastAsia" w:ascii="仿宋_GB2312" w:eastAsia="仿宋_GB2312"/>
          <w:bCs/>
          <w:sz w:val="32"/>
          <w:szCs w:val="30"/>
        </w:rPr>
        <w:t>在上两个学期（大一年级</w:t>
      </w:r>
      <w:r>
        <w:rPr>
          <w:rFonts w:hint="eastAsia" w:ascii="仿宋_GB2312" w:eastAsia="仿宋_GB2312"/>
          <w:bCs/>
          <w:sz w:val="32"/>
          <w:szCs w:val="30"/>
          <w:lang w:eastAsia="zh-CN"/>
        </w:rPr>
        <w:t>、研究生一年级</w:t>
      </w:r>
      <w:r>
        <w:rPr>
          <w:rFonts w:hint="eastAsia" w:ascii="仿宋_GB2312" w:eastAsia="仿宋_GB2312"/>
          <w:bCs/>
          <w:sz w:val="32"/>
          <w:szCs w:val="30"/>
        </w:rPr>
        <w:t>为上一学期），有必修课因考试不及格而重修的，不能列为入党积极分子；</w:t>
      </w:r>
      <w:r>
        <w:rPr>
          <w:rFonts w:hint="eastAsia" w:ascii="仿宋_GB2312" w:eastAsia="仿宋_GB2312"/>
          <w:bCs/>
          <w:sz w:val="32"/>
          <w:szCs w:val="30"/>
          <w:lang w:val="en-US" w:eastAsia="zh-CN"/>
        </w:rPr>
        <w:t>本科生</w:t>
      </w:r>
      <w:r>
        <w:rPr>
          <w:rFonts w:hint="eastAsia" w:ascii="仿宋_GB2312" w:eastAsia="仿宋_GB2312"/>
          <w:bCs/>
          <w:sz w:val="32"/>
          <w:szCs w:val="30"/>
        </w:rPr>
        <w:t>在最近两个学期内，综合素质测评排名位列班级后50%的，有考试不及格科目的，不能列为发展对象。</w:t>
      </w:r>
      <w:r>
        <w:rPr>
          <w:rFonts w:hint="eastAsia" w:ascii="仿宋_GB2312" w:eastAsia="仿宋_GB2312"/>
          <w:bCs/>
          <w:sz w:val="32"/>
          <w:szCs w:val="30"/>
          <w:lang w:val="en-US" w:eastAsia="zh-CN"/>
        </w:rPr>
        <w:t>研究生在最近两个学期内，学习成绩平均分在80分以下的，</w:t>
      </w:r>
      <w:r>
        <w:rPr>
          <w:rFonts w:hint="eastAsia" w:ascii="仿宋_GB2312" w:eastAsia="仿宋_GB2312"/>
          <w:bCs/>
          <w:sz w:val="32"/>
          <w:szCs w:val="30"/>
        </w:rPr>
        <w:t>有考试不及格科目的，不能列为发展对象。</w:t>
      </w:r>
    </w:p>
    <w:p>
      <w:pPr>
        <w:widowControl/>
        <w:adjustRightInd w:val="0"/>
        <w:snapToGrid w:val="0"/>
        <w:spacing w:line="580" w:lineRule="exact"/>
        <w:ind w:firstLine="640" w:firstLineChars="200"/>
        <w:rPr>
          <w:rFonts w:ascii="仿宋_GB2312" w:eastAsia="仿宋_GB2312"/>
          <w:bCs/>
          <w:sz w:val="32"/>
          <w:szCs w:val="30"/>
        </w:rPr>
      </w:pPr>
      <w:r>
        <w:rPr>
          <w:rFonts w:hint="eastAsia" w:ascii="仿宋_GB2312" w:eastAsia="仿宋_GB2312"/>
          <w:bCs/>
          <w:sz w:val="32"/>
          <w:szCs w:val="30"/>
        </w:rPr>
        <w:t>5、不积极参加</w:t>
      </w:r>
      <w:r>
        <w:rPr>
          <w:rFonts w:hint="eastAsia" w:ascii="仿宋_GB2312" w:eastAsia="仿宋_GB2312"/>
          <w:bCs/>
          <w:color w:val="FF0000"/>
          <w:sz w:val="32"/>
          <w:szCs w:val="30"/>
        </w:rPr>
        <w:t>“青年大学习”网上主题团课、学习强国等理论学习、</w:t>
      </w:r>
      <w:r>
        <w:rPr>
          <w:rFonts w:hint="eastAsia" w:ascii="仿宋_GB2312" w:eastAsia="仿宋_GB2312"/>
          <w:bCs/>
          <w:sz w:val="32"/>
          <w:szCs w:val="30"/>
        </w:rPr>
        <w:t>志愿服务和班级活动者。</w:t>
      </w:r>
    </w:p>
    <w:p>
      <w:pPr>
        <w:widowControl/>
        <w:adjustRightInd w:val="0"/>
        <w:snapToGrid w:val="0"/>
        <w:spacing w:line="580" w:lineRule="exact"/>
        <w:ind w:firstLine="643" w:firstLineChars="200"/>
        <w:rPr>
          <w:rFonts w:ascii="楷体" w:hAnsi="楷体" w:eastAsia="楷体"/>
          <w:b/>
          <w:sz w:val="32"/>
          <w:szCs w:val="30"/>
        </w:rPr>
      </w:pPr>
      <w:r>
        <w:rPr>
          <w:rFonts w:hint="eastAsia" w:ascii="楷体" w:hAnsi="楷体" w:eastAsia="楷体"/>
          <w:b/>
          <w:sz w:val="32"/>
          <w:szCs w:val="30"/>
        </w:rPr>
        <w:t>（四）推优人数比例</w:t>
      </w:r>
    </w:p>
    <w:p>
      <w:pPr>
        <w:widowControl/>
        <w:adjustRightInd w:val="0"/>
        <w:snapToGrid w:val="0"/>
        <w:spacing w:line="580" w:lineRule="exact"/>
        <w:ind w:firstLine="640" w:firstLineChars="200"/>
        <w:rPr>
          <w:rFonts w:ascii="仿宋_GB2312" w:hAnsi="宋体" w:eastAsia="仿宋_GB2312" w:cs="宋体"/>
          <w:b/>
          <w:bCs/>
          <w:sz w:val="32"/>
          <w:szCs w:val="32"/>
        </w:rPr>
      </w:pPr>
      <w:r>
        <w:rPr>
          <w:rFonts w:hint="eastAsia" w:ascii="仿宋_GB2312" w:eastAsia="仿宋_GB2312"/>
          <w:bCs/>
          <w:sz w:val="32"/>
          <w:szCs w:val="30"/>
        </w:rPr>
        <w:t>入党积极分子“推优”的比例一般不超过团支部团员人数的60%；发展对象“推优”比例一般不超过团支部团员人数的20%，可根据年度工作计划确定。每次推荐有效期为2年。</w:t>
      </w:r>
    </w:p>
    <w:p>
      <w:pPr>
        <w:pStyle w:val="18"/>
        <w:spacing w:line="580" w:lineRule="exact"/>
        <w:ind w:left="420" w:leftChars="200" w:firstLine="200" w:firstLineChars="0"/>
        <w:rPr>
          <w:rFonts w:ascii="黑体" w:hAnsi="黑体" w:eastAsia="黑体"/>
          <w:color w:val="000000"/>
          <w:spacing w:val="-6"/>
          <w:sz w:val="32"/>
          <w:szCs w:val="28"/>
        </w:rPr>
      </w:pPr>
      <w:r>
        <w:rPr>
          <w:rFonts w:hint="eastAsia" w:ascii="黑体" w:hAnsi="黑体" w:eastAsia="黑体"/>
          <w:color w:val="000000"/>
          <w:spacing w:val="-6"/>
          <w:sz w:val="32"/>
          <w:szCs w:val="28"/>
        </w:rPr>
        <w:t>二、推优工作程序</w:t>
      </w:r>
    </w:p>
    <w:p>
      <w:pPr>
        <w:widowControl/>
        <w:adjustRightInd w:val="0"/>
        <w:snapToGrid w:val="0"/>
        <w:spacing w:line="580" w:lineRule="exact"/>
        <w:ind w:firstLine="640" w:firstLineChars="200"/>
        <w:rPr>
          <w:rFonts w:ascii="仿宋_GB2312" w:eastAsia="仿宋_GB2312"/>
          <w:bCs/>
          <w:sz w:val="32"/>
          <w:szCs w:val="30"/>
        </w:rPr>
      </w:pPr>
      <w:r>
        <w:rPr>
          <w:rFonts w:hint="eastAsia" w:ascii="仿宋_GB2312" w:eastAsia="仿宋_GB2312"/>
          <w:bCs/>
          <w:sz w:val="32"/>
          <w:szCs w:val="30"/>
        </w:rPr>
        <w:t>团支部提出召开“推优”大会申请，经院团委批准同意后，</w:t>
      </w:r>
      <w:r>
        <w:rPr>
          <w:rFonts w:hint="eastAsia" w:ascii="仿宋_GB2312" w:eastAsia="仿宋_GB2312"/>
          <w:bCs/>
          <w:color w:val="FF0000"/>
          <w:sz w:val="32"/>
          <w:szCs w:val="30"/>
        </w:rPr>
        <w:t>主动邀请党员代表指导推优入党工作</w:t>
      </w:r>
      <w:r>
        <w:rPr>
          <w:rFonts w:hint="eastAsia" w:ascii="仿宋_GB2312" w:eastAsia="仿宋_GB2312"/>
          <w:bCs/>
          <w:sz w:val="32"/>
          <w:szCs w:val="30"/>
        </w:rPr>
        <w:t>，由团支部书记主持召开，</w:t>
      </w:r>
      <w:r>
        <w:rPr>
          <w:rFonts w:hint="eastAsia" w:ascii="仿宋_GB2312" w:eastAsia="仿宋_GB2312"/>
          <w:bCs/>
          <w:color w:val="FF0000"/>
          <w:sz w:val="32"/>
          <w:szCs w:val="30"/>
        </w:rPr>
        <w:t>班主任必须全程参与指导</w:t>
      </w:r>
      <w:r>
        <w:rPr>
          <w:rFonts w:hint="eastAsia" w:ascii="仿宋_GB2312" w:eastAsia="仿宋_GB2312"/>
          <w:bCs/>
          <w:sz w:val="32"/>
          <w:szCs w:val="30"/>
        </w:rPr>
        <w:t>，每年集中开展“推优”工作的时间</w:t>
      </w:r>
      <w:r>
        <w:rPr>
          <w:rFonts w:hint="eastAsia" w:ascii="仿宋_GB2312" w:eastAsia="仿宋_GB2312"/>
          <w:bCs/>
          <w:sz w:val="32"/>
          <w:szCs w:val="30"/>
          <w:lang w:val="en-US" w:eastAsia="zh-CN"/>
        </w:rPr>
        <w:t>一般</w:t>
      </w:r>
      <w:r>
        <w:rPr>
          <w:rFonts w:hint="eastAsia" w:ascii="仿宋_GB2312" w:eastAsia="仿宋_GB2312"/>
          <w:bCs/>
          <w:sz w:val="32"/>
          <w:szCs w:val="30"/>
        </w:rPr>
        <w:t>是3月和9月。“推优”大会的流程是：</w:t>
      </w:r>
    </w:p>
    <w:p>
      <w:pPr>
        <w:widowControl/>
        <w:adjustRightInd w:val="0"/>
        <w:snapToGrid w:val="0"/>
        <w:spacing w:line="580" w:lineRule="exact"/>
        <w:ind w:firstLine="640" w:firstLineChars="200"/>
        <w:rPr>
          <w:rFonts w:ascii="仿宋_GB2312" w:hAnsi="楷体" w:eastAsia="仿宋_GB2312"/>
          <w:bCs/>
          <w:sz w:val="32"/>
          <w:szCs w:val="30"/>
        </w:rPr>
      </w:pPr>
      <w:r>
        <w:rPr>
          <w:rFonts w:hint="eastAsia" w:ascii="仿宋_GB2312" w:hAnsi="楷体" w:eastAsia="仿宋_GB2312"/>
          <w:bCs/>
          <w:sz w:val="32"/>
          <w:szCs w:val="30"/>
        </w:rPr>
        <w:t>（一）清点参加“推优”大会的团员人数，须有80%以上有表决权的团员到会方可进行。</w:t>
      </w:r>
    </w:p>
    <w:p>
      <w:pPr>
        <w:widowControl/>
        <w:adjustRightInd w:val="0"/>
        <w:snapToGrid w:val="0"/>
        <w:spacing w:line="580" w:lineRule="exact"/>
        <w:ind w:firstLine="640" w:firstLineChars="200"/>
        <w:rPr>
          <w:rFonts w:ascii="仿宋_GB2312" w:hAnsi="楷体" w:eastAsia="仿宋_GB2312"/>
          <w:bCs/>
          <w:sz w:val="32"/>
          <w:szCs w:val="30"/>
        </w:rPr>
      </w:pPr>
      <w:r>
        <w:rPr>
          <w:rFonts w:hint="eastAsia" w:ascii="仿宋_GB2312" w:hAnsi="楷体" w:eastAsia="仿宋_GB2312"/>
          <w:bCs/>
          <w:sz w:val="32"/>
          <w:szCs w:val="30"/>
        </w:rPr>
        <w:t>（二）团支部委员会介绍符合“推优”条件的候选人情况，候选人的产生应遵循综合测评、志愿服务等团员评优机制。</w:t>
      </w:r>
    </w:p>
    <w:p>
      <w:pPr>
        <w:widowControl/>
        <w:adjustRightInd w:val="0"/>
        <w:snapToGrid w:val="0"/>
        <w:spacing w:line="580" w:lineRule="exact"/>
        <w:ind w:firstLine="640" w:firstLineChars="200"/>
        <w:rPr>
          <w:rFonts w:ascii="仿宋_GB2312" w:hAnsi="楷体" w:eastAsia="仿宋_GB2312"/>
          <w:bCs/>
          <w:sz w:val="32"/>
          <w:szCs w:val="30"/>
        </w:rPr>
      </w:pPr>
      <w:r>
        <w:rPr>
          <w:rFonts w:hint="eastAsia" w:ascii="仿宋_GB2312" w:hAnsi="楷体" w:eastAsia="仿宋_GB2312"/>
          <w:bCs/>
          <w:sz w:val="32"/>
          <w:szCs w:val="30"/>
        </w:rPr>
        <w:t>（三）候选人从思想政治、道德品行、作用发挥、执行纪律等方面进行自我评述，重点介绍入党动机和接受培养教育的体会认识。</w:t>
      </w:r>
    </w:p>
    <w:p>
      <w:pPr>
        <w:widowControl/>
        <w:adjustRightInd w:val="0"/>
        <w:snapToGrid w:val="0"/>
        <w:spacing w:line="580" w:lineRule="exact"/>
        <w:ind w:firstLine="640" w:firstLineChars="200"/>
        <w:rPr>
          <w:rFonts w:ascii="仿宋_GB2312" w:hAnsi="楷体" w:eastAsia="仿宋_GB2312"/>
          <w:bCs/>
          <w:sz w:val="32"/>
          <w:szCs w:val="30"/>
        </w:rPr>
      </w:pPr>
      <w:r>
        <w:rPr>
          <w:rFonts w:hint="eastAsia" w:ascii="仿宋_GB2312" w:hAnsi="楷体" w:eastAsia="仿宋_GB2312"/>
          <w:bCs/>
          <w:sz w:val="32"/>
          <w:szCs w:val="30"/>
        </w:rPr>
        <w:t>（四）参会人员通过无记名投票的方式进行民主评议，赞成人数超过应到会有表决权团员的</w:t>
      </w:r>
      <w:r>
        <w:rPr>
          <w:rFonts w:hint="eastAsia" w:ascii="仿宋_GB2312" w:hAnsi="楷体" w:eastAsia="仿宋_GB2312"/>
          <w:bCs/>
          <w:color w:val="FF0000"/>
          <w:sz w:val="32"/>
          <w:szCs w:val="30"/>
        </w:rPr>
        <w:t>半数以上</w:t>
      </w:r>
      <w:r>
        <w:rPr>
          <w:rFonts w:hint="eastAsia" w:ascii="仿宋_GB2312" w:hAnsi="楷体" w:eastAsia="仿宋_GB2312"/>
          <w:bCs/>
          <w:sz w:val="32"/>
          <w:szCs w:val="30"/>
        </w:rPr>
        <w:t>的候选人，进入考察环节。</w:t>
      </w:r>
    </w:p>
    <w:p>
      <w:pPr>
        <w:widowControl/>
        <w:adjustRightInd w:val="0"/>
        <w:snapToGrid w:val="0"/>
        <w:spacing w:line="580" w:lineRule="exact"/>
        <w:ind w:firstLine="640" w:firstLineChars="200"/>
        <w:rPr>
          <w:rFonts w:ascii="仿宋_GB2312" w:hAnsi="楷体" w:eastAsia="仿宋_GB2312"/>
          <w:bCs/>
          <w:sz w:val="32"/>
          <w:szCs w:val="30"/>
        </w:rPr>
      </w:pPr>
      <w:r>
        <w:rPr>
          <w:rFonts w:hint="eastAsia" w:ascii="仿宋_GB2312" w:hAnsi="楷体" w:eastAsia="仿宋_GB2312"/>
          <w:bCs/>
          <w:sz w:val="32"/>
          <w:szCs w:val="30"/>
        </w:rPr>
        <w:t>（五）团支部委员会对推选出的候选人进行考察，考察不唯票，结合平时掌握的情况，提出组织意见，形成书面材料。</w:t>
      </w:r>
    </w:p>
    <w:p>
      <w:pPr>
        <w:widowControl/>
        <w:adjustRightInd w:val="0"/>
        <w:snapToGrid w:val="0"/>
        <w:spacing w:line="580" w:lineRule="exact"/>
        <w:ind w:firstLine="640" w:firstLineChars="200"/>
        <w:rPr>
          <w:rFonts w:ascii="仿宋_GB2312" w:hAnsi="楷体" w:eastAsia="仿宋_GB2312"/>
          <w:bCs/>
          <w:sz w:val="32"/>
          <w:szCs w:val="30"/>
        </w:rPr>
      </w:pPr>
      <w:r>
        <w:rPr>
          <w:rFonts w:hint="eastAsia" w:ascii="仿宋_GB2312" w:hAnsi="楷体" w:eastAsia="仿宋_GB2312"/>
          <w:bCs/>
          <w:sz w:val="32"/>
          <w:szCs w:val="30"/>
        </w:rPr>
        <w:t>（六）经学院各团支部确定的推优对象，填写《江西农业大学推荐优秀团员作为入党积极分子登记表》、《江西农业大学推荐优秀团员作为党的发展对象登记表》，学院统一打印后再发给各支部书记签字。</w:t>
      </w:r>
    </w:p>
    <w:p>
      <w:pPr>
        <w:ind w:firstLine="640" w:firstLineChars="200"/>
        <w:rPr>
          <w:rFonts w:hint="eastAsia" w:ascii="仿宋_GB2312" w:hAnsi="Times New Roman" w:eastAsia="仿宋_GB2312" w:cs="Times New Roman"/>
          <w:bCs/>
          <w:sz w:val="32"/>
          <w:szCs w:val="30"/>
          <w:lang w:val="en-US" w:eastAsia="zh-CN"/>
        </w:rPr>
      </w:pPr>
      <w:r>
        <w:rPr>
          <w:rFonts w:hint="eastAsia" w:ascii="仿宋_GB2312" w:hAnsi="楷体" w:eastAsia="仿宋_GB2312"/>
          <w:bCs/>
          <w:sz w:val="32"/>
          <w:szCs w:val="30"/>
        </w:rPr>
        <w:t>（七）学院团委审核、公示推优对象。院团委审核团支部推荐意见和相关材料，对被推荐对象进行进一步考察。对符合条件的，汇总“推优”情况说明以及考察材料等向相关党支部推荐。填写《江西农业大学推荐优秀团员作为入党积极分子汇总表》、《江西农业大学推荐优秀团员作为党的发展对象汇总表》。将申请人的基本情况在学院公示5个工作日。公示期间，如对结果有异议，请联系学院团委。对群众反映的问题，院团委应调查核实。公示无异议者，经院团委集体研究讨论，确认为“推优”对象。</w:t>
      </w:r>
      <w:r>
        <w:rPr>
          <w:rFonts w:hint="eastAsia" w:ascii="仿宋_GB2312" w:eastAsia="仿宋_GB2312" w:cs="Times New Roman"/>
          <w:bCs/>
          <w:color w:val="FF0000"/>
          <w:sz w:val="32"/>
          <w:szCs w:val="30"/>
          <w:lang w:val="en-US" w:eastAsia="zh-CN"/>
        </w:rPr>
        <w:t>如因综测等原因，学院将适时调整名单。</w:t>
      </w:r>
    </w:p>
    <w:p>
      <w:pPr>
        <w:widowControl/>
        <w:adjustRightInd w:val="0"/>
        <w:snapToGrid w:val="0"/>
        <w:spacing w:line="580" w:lineRule="exact"/>
        <w:ind w:firstLine="640" w:firstLineChars="200"/>
        <w:rPr>
          <w:rFonts w:ascii="仿宋_GB2312" w:hAnsi="楷体" w:eastAsia="仿宋_GB2312"/>
          <w:bCs/>
          <w:sz w:val="32"/>
          <w:szCs w:val="30"/>
        </w:rPr>
      </w:pPr>
    </w:p>
    <w:p>
      <w:pPr>
        <w:spacing w:line="540" w:lineRule="exact"/>
        <w:ind w:firstLine="640" w:firstLineChars="200"/>
        <w:jc w:val="right"/>
        <w:rPr>
          <w:rFonts w:ascii="仿宋_GB2312" w:hAnsi="仿宋_GB2312" w:eastAsia="仿宋_GB2312" w:cs="仿宋_GB2312"/>
          <w:sz w:val="32"/>
          <w:szCs w:val="30"/>
        </w:rPr>
      </w:pPr>
    </w:p>
    <w:p>
      <w:pPr>
        <w:spacing w:line="540" w:lineRule="exact"/>
        <w:ind w:firstLine="640" w:firstLineChars="200"/>
        <w:jc w:val="right"/>
        <w:rPr>
          <w:rFonts w:ascii="仿宋_GB2312" w:hAnsi="仿宋_GB2312" w:eastAsia="仿宋_GB2312" w:cs="仿宋_GB2312"/>
          <w:sz w:val="32"/>
          <w:szCs w:val="30"/>
        </w:rPr>
      </w:pPr>
      <w:r>
        <w:rPr>
          <w:rFonts w:hint="eastAsia" w:ascii="仿宋_GB2312" w:hAnsi="仿宋_GB2312" w:eastAsia="仿宋_GB2312" w:cs="仿宋_GB2312"/>
          <w:sz w:val="32"/>
          <w:szCs w:val="30"/>
        </w:rPr>
        <w:t>动物科学技术学院团委</w:t>
      </w:r>
    </w:p>
    <w:p>
      <w:pPr>
        <w:spacing w:line="540" w:lineRule="exact"/>
        <w:ind w:firstLine="640" w:firstLineChars="200"/>
        <w:jc w:val="right"/>
        <w:rPr>
          <w:rFonts w:ascii="仿宋_GB2312" w:eastAsia="仿宋_GB2312"/>
          <w:bCs/>
          <w:sz w:val="32"/>
          <w:szCs w:val="32"/>
        </w:rPr>
      </w:pPr>
      <w:r>
        <w:rPr>
          <w:rFonts w:hint="eastAsia" w:ascii="仿宋_GB2312" w:eastAsia="仿宋_GB2312"/>
          <w:bCs/>
          <w:sz w:val="32"/>
          <w:szCs w:val="32"/>
        </w:rPr>
        <w:t>202</w:t>
      </w:r>
      <w:r>
        <w:rPr>
          <w:rFonts w:ascii="仿宋_GB2312" w:eastAsia="仿宋_GB2312"/>
          <w:bCs/>
          <w:sz w:val="32"/>
          <w:szCs w:val="32"/>
        </w:rPr>
        <w:t>3</w:t>
      </w:r>
      <w:r>
        <w:rPr>
          <w:rFonts w:hint="eastAsia" w:ascii="仿宋_GB2312" w:eastAsia="仿宋_GB2312"/>
          <w:bCs/>
          <w:sz w:val="32"/>
          <w:szCs w:val="32"/>
        </w:rPr>
        <w:t>年</w:t>
      </w:r>
      <w:r>
        <w:rPr>
          <w:rFonts w:hint="eastAsia" w:ascii="仿宋_GB2312" w:eastAsia="仿宋_GB2312"/>
          <w:bCs/>
          <w:sz w:val="32"/>
          <w:szCs w:val="32"/>
          <w:lang w:val="en-US" w:eastAsia="zh-CN"/>
        </w:rPr>
        <w:t>4</w:t>
      </w:r>
      <w:r>
        <w:rPr>
          <w:rFonts w:hint="eastAsia" w:ascii="仿宋_GB2312" w:eastAsia="仿宋_GB2312"/>
          <w:bCs/>
          <w:sz w:val="32"/>
          <w:szCs w:val="32"/>
        </w:rPr>
        <w:t>月</w:t>
      </w:r>
      <w:r>
        <w:rPr>
          <w:rFonts w:hint="eastAsia" w:ascii="仿宋_GB2312" w:eastAsia="仿宋_GB2312"/>
          <w:bCs/>
          <w:sz w:val="32"/>
          <w:szCs w:val="32"/>
          <w:lang w:val="en-US" w:eastAsia="zh-CN"/>
        </w:rPr>
        <w:t>21</w:t>
      </w:r>
      <w:r>
        <w:rPr>
          <w:rFonts w:hint="eastAsia" w:ascii="仿宋_GB2312" w:eastAsia="仿宋_GB2312"/>
          <w:bCs/>
          <w:sz w:val="32"/>
          <w:szCs w:val="32"/>
        </w:rPr>
        <w:t>日</w:t>
      </w:r>
    </w:p>
    <w:p>
      <w:pPr>
        <w:spacing w:line="540" w:lineRule="exact"/>
        <w:ind w:firstLine="640" w:firstLineChars="200"/>
        <w:rPr>
          <w:rFonts w:ascii="仿宋_GB2312" w:hAnsi="仿宋_GB2312" w:eastAsia="仿宋_GB2312" w:cs="仿宋_GB2312"/>
          <w:sz w:val="32"/>
          <w:szCs w:val="30"/>
        </w:rPr>
      </w:pPr>
    </w:p>
    <w:p>
      <w:pPr>
        <w:spacing w:line="540" w:lineRule="exact"/>
        <w:ind w:firstLine="640" w:firstLineChars="200"/>
        <w:rPr>
          <w:rFonts w:ascii="仿宋_GB2312" w:hAnsi="仿宋_GB2312" w:eastAsia="仿宋_GB2312" w:cs="仿宋_GB2312"/>
          <w:sz w:val="32"/>
          <w:szCs w:val="30"/>
        </w:rPr>
      </w:pPr>
    </w:p>
    <w:p>
      <w:pPr>
        <w:spacing w:line="540" w:lineRule="exact"/>
        <w:rPr>
          <w:rFonts w:ascii="仿宋_GB2312" w:hAnsi="仿宋_GB2312" w:eastAsia="仿宋_GB2312" w:cs="仿宋_GB2312"/>
          <w:sz w:val="32"/>
          <w:szCs w:val="30"/>
        </w:rPr>
      </w:pPr>
      <w:r>
        <w:rPr>
          <w:rFonts w:hint="eastAsia" w:ascii="仿宋_GB2312" w:hAnsi="仿宋_GB2312" w:eastAsia="仿宋_GB2312" w:cs="仿宋_GB2312"/>
          <w:sz w:val="32"/>
          <w:szCs w:val="30"/>
        </w:rPr>
        <w:t xml:space="preserve"> </w:t>
      </w:r>
      <w:r>
        <w:rPr>
          <w:rFonts w:ascii="仿宋_GB2312" w:hAnsi="仿宋_GB2312" w:eastAsia="仿宋_GB2312" w:cs="仿宋_GB2312"/>
          <w:sz w:val="32"/>
          <w:szCs w:val="30"/>
        </w:rPr>
        <w:t xml:space="preserve">   </w:t>
      </w:r>
    </w:p>
    <w:p>
      <w:pPr>
        <w:spacing w:line="400" w:lineRule="exact"/>
        <w:rPr>
          <w:rFonts w:ascii="仿宋_GB2312" w:hAnsi="宋体" w:eastAsia="仿宋_GB2312"/>
          <w:sz w:val="28"/>
          <w:szCs w:val="28"/>
          <w:u w:val="single"/>
        </w:rPr>
      </w:pPr>
    </w:p>
    <w:p>
      <w:pPr>
        <w:spacing w:line="400" w:lineRule="exact"/>
        <w:rPr>
          <w:rFonts w:ascii="仿宋_GB2312" w:hAnsi="宋体" w:eastAsia="仿宋_GB2312"/>
          <w:sz w:val="28"/>
          <w:szCs w:val="28"/>
          <w:u w:val="single"/>
        </w:rPr>
      </w:pPr>
    </w:p>
    <w:p>
      <w:pPr>
        <w:pStyle w:val="2"/>
        <w:rPr>
          <w:rFonts w:ascii="仿宋_GB2312" w:hAnsi="宋体" w:eastAsia="仿宋_GB2312"/>
          <w:sz w:val="28"/>
          <w:szCs w:val="28"/>
          <w:u w:val="single"/>
        </w:rPr>
      </w:pPr>
    </w:p>
    <w:p>
      <w:pPr>
        <w:rPr>
          <w:rFonts w:ascii="仿宋_GB2312" w:hAnsi="宋体" w:eastAsia="仿宋_GB2312"/>
          <w:sz w:val="28"/>
          <w:szCs w:val="28"/>
          <w:u w:val="single"/>
        </w:rPr>
      </w:pPr>
    </w:p>
    <w:p>
      <w:pPr>
        <w:pStyle w:val="2"/>
        <w:rPr>
          <w:rFonts w:ascii="仿宋_GB2312" w:hAnsi="宋体" w:eastAsia="仿宋_GB2312"/>
          <w:sz w:val="28"/>
          <w:szCs w:val="28"/>
          <w:u w:val="single"/>
        </w:rPr>
      </w:pPr>
    </w:p>
    <w:p/>
    <w:p>
      <w:pPr>
        <w:spacing w:line="400" w:lineRule="exact"/>
        <w:rPr>
          <w:rFonts w:ascii="仿宋_GB2312" w:hAnsi="宋体" w:eastAsia="仿宋_GB2312"/>
          <w:sz w:val="28"/>
          <w:szCs w:val="28"/>
          <w:u w:val="single"/>
        </w:rPr>
      </w:pPr>
    </w:p>
    <w:p>
      <w:pPr>
        <w:spacing w:line="400" w:lineRule="exact"/>
        <w:rPr>
          <w:rFonts w:ascii="仿宋_GB2312" w:hAnsi="宋体" w:eastAsia="仿宋_GB2312"/>
          <w:sz w:val="28"/>
          <w:szCs w:val="28"/>
          <w:u w:val="single"/>
        </w:rPr>
      </w:pPr>
    </w:p>
    <w:p>
      <w:pPr>
        <w:spacing w:line="400" w:lineRule="exact"/>
        <w:rPr>
          <w:rFonts w:ascii="仿宋_GB2312" w:hAnsi="宋体" w:eastAsia="仿宋_GB2312"/>
          <w:sz w:val="28"/>
          <w:szCs w:val="28"/>
          <w:u w:val="single"/>
        </w:rPr>
      </w:pPr>
    </w:p>
    <w:p>
      <w:pPr>
        <w:spacing w:line="400" w:lineRule="exact"/>
        <w:rPr>
          <w:rFonts w:ascii="仿宋_GB2312" w:hAnsi="宋体" w:eastAsia="仿宋_GB2312"/>
          <w:sz w:val="28"/>
          <w:szCs w:val="28"/>
          <w:u w:val="single"/>
        </w:rPr>
      </w:pPr>
    </w:p>
    <w:p>
      <w:pPr>
        <w:spacing w:line="400" w:lineRule="exact"/>
        <w:rPr>
          <w:rFonts w:ascii="仿宋_GB2312" w:hAnsi="宋体" w:eastAsia="仿宋_GB2312"/>
          <w:sz w:val="28"/>
          <w:szCs w:val="28"/>
          <w:u w:val="single"/>
        </w:rPr>
      </w:pPr>
    </w:p>
    <w:p>
      <w:pPr>
        <w:pStyle w:val="2"/>
        <w:rPr>
          <w:rFonts w:ascii="仿宋_GB2312" w:hAnsi="宋体" w:eastAsia="仿宋_GB2312"/>
          <w:sz w:val="28"/>
          <w:szCs w:val="28"/>
          <w:u w:val="single"/>
        </w:rPr>
      </w:pPr>
    </w:p>
    <w:p>
      <w:pPr>
        <w:rPr>
          <w:rFonts w:ascii="仿宋_GB2312" w:hAnsi="宋体" w:eastAsia="仿宋_GB2312"/>
          <w:sz w:val="28"/>
          <w:szCs w:val="28"/>
          <w:u w:val="single"/>
        </w:rPr>
      </w:pPr>
    </w:p>
    <w:p>
      <w:pPr>
        <w:pStyle w:val="2"/>
        <w:rPr>
          <w:rFonts w:ascii="仿宋_GB2312" w:hAnsi="宋体" w:eastAsia="仿宋_GB2312"/>
          <w:sz w:val="28"/>
          <w:szCs w:val="28"/>
          <w:u w:val="single"/>
        </w:rPr>
      </w:pPr>
    </w:p>
    <w:p>
      <w:pPr>
        <w:pStyle w:val="2"/>
      </w:pPr>
    </w:p>
    <w:p>
      <w:pPr>
        <w:spacing w:line="400" w:lineRule="exact"/>
        <w:rPr>
          <w:rFonts w:ascii="仿宋_GB2312" w:hAnsi="宋体" w:eastAsia="仿宋_GB2312"/>
          <w:sz w:val="28"/>
          <w:szCs w:val="28"/>
          <w:u w:val="single"/>
        </w:rPr>
      </w:pPr>
    </w:p>
    <w:p>
      <w:pPr>
        <w:spacing w:line="400" w:lineRule="exact"/>
        <w:rPr>
          <w:rFonts w:ascii="仿宋_GB2312" w:hAnsi="宋体" w:eastAsia="仿宋_GB2312"/>
          <w:sz w:val="32"/>
          <w:szCs w:val="32"/>
          <w:u w:val="single"/>
        </w:rPr>
      </w:pPr>
      <w:r>
        <w:rPr>
          <w:rFonts w:hint="eastAsia" w:ascii="仿宋_GB2312" w:hAnsi="宋体" w:eastAsia="仿宋_GB2312"/>
          <w:sz w:val="28"/>
          <w:szCs w:val="28"/>
          <w:u w:val="single"/>
        </w:rPr>
        <w:t xml:space="preserve">                                                                 </w:t>
      </w:r>
    </w:p>
    <w:p>
      <w:pPr>
        <w:spacing w:line="400" w:lineRule="exact"/>
      </w:pPr>
      <w:r>
        <w:rPr>
          <w:rFonts w:hint="eastAsia" w:ascii="仿宋_GB2312" w:hAnsi="宋体" w:eastAsia="仿宋_GB2312"/>
          <w:sz w:val="28"/>
          <w:szCs w:val="28"/>
          <w:u w:val="single"/>
        </w:rPr>
        <w:t xml:space="preserve"> 江西农业大学动物科学技术学院团委         </w:t>
      </w:r>
      <w:r>
        <w:rPr>
          <w:rFonts w:ascii="仿宋_GB2312" w:hAnsi="宋体" w:eastAsia="仿宋_GB2312"/>
          <w:sz w:val="28"/>
          <w:szCs w:val="28"/>
          <w:u w:val="single"/>
        </w:rPr>
        <w:t xml:space="preserve">  </w:t>
      </w:r>
      <w:r>
        <w:rPr>
          <w:rFonts w:hint="eastAsia" w:ascii="仿宋_GB2312" w:hAnsi="宋体" w:eastAsia="仿宋_GB2312"/>
          <w:sz w:val="28"/>
          <w:szCs w:val="28"/>
          <w:u w:val="single"/>
        </w:rPr>
        <w:t xml:space="preserve"> 202</w:t>
      </w:r>
      <w:r>
        <w:rPr>
          <w:rFonts w:ascii="仿宋_GB2312" w:hAnsi="宋体" w:eastAsia="仿宋_GB2312"/>
          <w:sz w:val="28"/>
          <w:szCs w:val="28"/>
          <w:u w:val="single"/>
        </w:rPr>
        <w:t>3</w:t>
      </w:r>
      <w:r>
        <w:rPr>
          <w:rFonts w:hint="eastAsia" w:ascii="仿宋_GB2312" w:hAnsi="宋体" w:eastAsia="仿宋_GB2312"/>
          <w:sz w:val="28"/>
          <w:szCs w:val="28"/>
          <w:u w:val="single"/>
        </w:rPr>
        <w:t>年</w:t>
      </w:r>
      <w:r>
        <w:rPr>
          <w:rFonts w:hint="eastAsia" w:ascii="仿宋_GB2312" w:hAnsi="宋体" w:eastAsia="仿宋_GB2312"/>
          <w:sz w:val="28"/>
          <w:szCs w:val="28"/>
          <w:u w:val="single"/>
          <w:lang w:val="en-US" w:eastAsia="zh-CN"/>
        </w:rPr>
        <w:t>4</w:t>
      </w:r>
      <w:r>
        <w:rPr>
          <w:rFonts w:hint="eastAsia" w:ascii="仿宋_GB2312" w:hAnsi="宋体" w:eastAsia="仿宋_GB2312"/>
          <w:sz w:val="28"/>
          <w:szCs w:val="28"/>
          <w:u w:val="single"/>
        </w:rPr>
        <w:t>月</w:t>
      </w:r>
      <w:r>
        <w:rPr>
          <w:rFonts w:hint="eastAsia" w:ascii="仿宋_GB2312" w:hAnsi="宋体" w:eastAsia="仿宋_GB2312"/>
          <w:sz w:val="28"/>
          <w:szCs w:val="28"/>
          <w:u w:val="single"/>
          <w:lang w:val="en-US" w:eastAsia="zh-CN"/>
        </w:rPr>
        <w:t>21</w:t>
      </w:r>
      <w:r>
        <w:rPr>
          <w:rFonts w:hint="eastAsia" w:ascii="仿宋_GB2312" w:hAnsi="宋体" w:eastAsia="仿宋_GB2312"/>
          <w:sz w:val="28"/>
          <w:szCs w:val="28"/>
          <w:u w:val="single"/>
        </w:rPr>
        <w:t xml:space="preserve">日印发   </w:t>
      </w: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kzMzlkY2Y5ODkxNzAxOGUxYzcwODllODhjOGJkNzkifQ=="/>
  </w:docVars>
  <w:rsids>
    <w:rsidRoot w:val="006A493A"/>
    <w:rsid w:val="0007447E"/>
    <w:rsid w:val="000F6869"/>
    <w:rsid w:val="00216CF1"/>
    <w:rsid w:val="00237BD2"/>
    <w:rsid w:val="00242EA4"/>
    <w:rsid w:val="002759C6"/>
    <w:rsid w:val="002E5A7B"/>
    <w:rsid w:val="003B3D1C"/>
    <w:rsid w:val="0046136A"/>
    <w:rsid w:val="004A035F"/>
    <w:rsid w:val="005601DE"/>
    <w:rsid w:val="005A2901"/>
    <w:rsid w:val="006A493A"/>
    <w:rsid w:val="00702EFF"/>
    <w:rsid w:val="00760F43"/>
    <w:rsid w:val="007C20C0"/>
    <w:rsid w:val="007C63E1"/>
    <w:rsid w:val="00924178"/>
    <w:rsid w:val="00966701"/>
    <w:rsid w:val="00A06CF2"/>
    <w:rsid w:val="00A90432"/>
    <w:rsid w:val="00B37575"/>
    <w:rsid w:val="00B52ADD"/>
    <w:rsid w:val="00C116A6"/>
    <w:rsid w:val="00D077A5"/>
    <w:rsid w:val="00DD0D4B"/>
    <w:rsid w:val="00E01DFD"/>
    <w:rsid w:val="00E856C7"/>
    <w:rsid w:val="00EC5257"/>
    <w:rsid w:val="00FB3FFB"/>
    <w:rsid w:val="00FD726E"/>
    <w:rsid w:val="08067560"/>
    <w:rsid w:val="0950177B"/>
    <w:rsid w:val="0B2F2221"/>
    <w:rsid w:val="0D034819"/>
    <w:rsid w:val="0E804312"/>
    <w:rsid w:val="15A86C68"/>
    <w:rsid w:val="1C651D9E"/>
    <w:rsid w:val="1FEB62B4"/>
    <w:rsid w:val="28E20047"/>
    <w:rsid w:val="2A1C6E4F"/>
    <w:rsid w:val="2CBF3E8D"/>
    <w:rsid w:val="301929F2"/>
    <w:rsid w:val="30B10A6D"/>
    <w:rsid w:val="339252AC"/>
    <w:rsid w:val="36E67A14"/>
    <w:rsid w:val="3D6A3E82"/>
    <w:rsid w:val="42393089"/>
    <w:rsid w:val="46C350E7"/>
    <w:rsid w:val="49D113E8"/>
    <w:rsid w:val="4C21252C"/>
    <w:rsid w:val="5D7D2F98"/>
    <w:rsid w:val="5E7D46EF"/>
    <w:rsid w:val="5F7F90CD"/>
    <w:rsid w:val="63E24901"/>
    <w:rsid w:val="6FD97BC8"/>
    <w:rsid w:val="7E2F5418"/>
    <w:rsid w:val="7EFE3D39"/>
    <w:rsid w:val="CCFFD9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0"/>
    <w:pPr>
      <w:spacing w:after="120"/>
    </w:pPr>
    <w:rPr>
      <w:kern w:val="0"/>
      <w:sz w:val="22"/>
    </w:r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adjustRightInd w:val="0"/>
      <w:snapToGrid w:val="0"/>
      <w:spacing w:after="150"/>
      <w:jc w:val="left"/>
    </w:pPr>
    <w:rPr>
      <w:rFonts w:ascii="Tahoma" w:hAnsi="Tahoma" w:eastAsia="微软雅黑"/>
      <w:kern w:val="0"/>
      <w:sz w:val="24"/>
      <w:szCs w:val="22"/>
    </w:rPr>
  </w:style>
  <w:style w:type="character" w:customStyle="1" w:styleId="10">
    <w:name w:val="正文文本 字符1"/>
    <w:link w:val="3"/>
    <w:qFormat/>
    <w:uiPriority w:val="0"/>
    <w:rPr>
      <w:rFonts w:ascii="Times New Roman" w:hAnsi="Times New Roman" w:eastAsia="宋体" w:cs="Times New Roman"/>
      <w:kern w:val="0"/>
      <w:sz w:val="22"/>
      <w:szCs w:val="24"/>
    </w:rPr>
  </w:style>
  <w:style w:type="character" w:customStyle="1" w:styleId="11">
    <w:name w:val="正文文本 字符"/>
    <w:basedOn w:val="9"/>
    <w:qFormat/>
    <w:uiPriority w:val="99"/>
    <w:rPr>
      <w:rFonts w:ascii="Times New Roman" w:hAnsi="Times New Roman" w:eastAsia="宋体" w:cs="Times New Roman"/>
      <w:szCs w:val="24"/>
    </w:rPr>
  </w:style>
  <w:style w:type="paragraph" w:customStyle="1" w:styleId="12">
    <w:name w:val="_Style 6"/>
    <w:basedOn w:val="1"/>
    <w:next w:val="13"/>
    <w:qFormat/>
    <w:uiPriority w:val="0"/>
    <w:pPr>
      <w:ind w:firstLine="420" w:firstLineChars="200"/>
    </w:pPr>
    <w:rPr>
      <w:rFonts w:ascii="等线" w:hAnsi="等线" w:eastAsia="等线"/>
    </w:rPr>
  </w:style>
  <w:style w:type="paragraph" w:styleId="13">
    <w:name w:val="List Paragraph"/>
    <w:basedOn w:val="1"/>
    <w:qFormat/>
    <w:uiPriority w:val="34"/>
    <w:pPr>
      <w:ind w:firstLine="420" w:firstLineChars="200"/>
    </w:pPr>
  </w:style>
  <w:style w:type="character" w:customStyle="1" w:styleId="14">
    <w:name w:val="页眉 字符"/>
    <w:basedOn w:val="9"/>
    <w:link w:val="6"/>
    <w:qFormat/>
    <w:uiPriority w:val="0"/>
    <w:rPr>
      <w:rFonts w:ascii="Times New Roman" w:hAnsi="Times New Roman" w:eastAsia="宋体" w:cs="Times New Roman"/>
      <w:kern w:val="2"/>
      <w:sz w:val="18"/>
      <w:szCs w:val="18"/>
    </w:rPr>
  </w:style>
  <w:style w:type="character" w:customStyle="1" w:styleId="15">
    <w:name w:val="页脚 字符"/>
    <w:basedOn w:val="9"/>
    <w:link w:val="5"/>
    <w:qFormat/>
    <w:uiPriority w:val="0"/>
    <w:rPr>
      <w:rFonts w:ascii="Times New Roman" w:hAnsi="Times New Roman" w:eastAsia="宋体" w:cs="Times New Roman"/>
      <w:kern w:val="2"/>
      <w:sz w:val="18"/>
      <w:szCs w:val="18"/>
    </w:rPr>
  </w:style>
  <w:style w:type="character" w:customStyle="1" w:styleId="16">
    <w:name w:val="批注框文本 字符"/>
    <w:basedOn w:val="9"/>
    <w:link w:val="4"/>
    <w:qFormat/>
    <w:uiPriority w:val="0"/>
    <w:rPr>
      <w:rFonts w:ascii="Times New Roman" w:hAnsi="Times New Roman" w:eastAsia="宋体" w:cs="Times New Roman"/>
      <w:kern w:val="2"/>
      <w:sz w:val="18"/>
      <w:szCs w:val="18"/>
    </w:rPr>
  </w:style>
  <w:style w:type="paragraph" w:customStyle="1" w:styleId="17">
    <w:name w:val="cjk"/>
    <w:basedOn w:val="1"/>
    <w:qFormat/>
    <w:uiPriority w:val="0"/>
    <w:pPr>
      <w:spacing w:before="100" w:beforeAutospacing="1" w:after="100" w:afterAutospacing="1"/>
    </w:pPr>
    <w:rPr>
      <w:rFonts w:ascii="宋体" w:hAnsi="宋体" w:cs="宋体"/>
      <w:sz w:val="24"/>
    </w:rPr>
  </w:style>
  <w:style w:type="paragraph" w:customStyle="1" w:styleId="18">
    <w:name w:val="_Style 4"/>
    <w:basedOn w:val="1"/>
    <w:qFormat/>
    <w:uiPriority w:val="0"/>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1965</Words>
  <Characters>1992</Characters>
  <Lines>14</Lines>
  <Paragraphs>4</Paragraphs>
  <TotalTime>8</TotalTime>
  <ScaleCrop>false</ScaleCrop>
  <LinksUpToDate>false</LinksUpToDate>
  <CharactersWithSpaces>2108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2020-12-09T07:02:00Z</dcterms:created>
  <dc:creator>圣超 刘</dc:creator>
  <cp:lastModifiedBy>Apricity</cp:lastModifiedBy>
  <cp:lastPrinted>2022-03-16T02:03:00Z</cp:lastPrinted>
  <dcterms:modified xsi:type="dcterms:W3CDTF">2023-04-21T08:06:57Z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B1C3DEA62D454137BD4935327A2B0C17_13</vt:lpwstr>
  </property>
</Properties>
</file>